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67" w:rsidRPr="00D8028F" w:rsidRDefault="009A4F67" w:rsidP="009A4F67">
      <w:pPr>
        <w:pStyle w:val="Heading2"/>
      </w:pPr>
      <w:bookmarkStart w:id="0" w:name="_Toc351035921"/>
      <w:bookmarkStart w:id="1" w:name="_Toc399163751"/>
      <w:bookmarkStart w:id="2" w:name="_Toc446943484"/>
      <w:bookmarkStart w:id="3" w:name="_Toc446943689"/>
      <w:bookmarkStart w:id="4" w:name="_Toc454550467"/>
      <w:r w:rsidRPr="00D8028F">
        <w:t>ANTI-HARASSMENT</w:t>
      </w:r>
      <w:bookmarkEnd w:id="0"/>
      <w:bookmarkEnd w:id="1"/>
      <w:bookmarkEnd w:id="2"/>
      <w:bookmarkEnd w:id="3"/>
      <w:bookmarkEnd w:id="4"/>
      <w:r w:rsidRPr="00D8028F">
        <w:t xml:space="preserve"> </w:t>
      </w:r>
      <w:r>
        <w:t>POLICY</w:t>
      </w:r>
    </w:p>
    <w:p w:rsidR="009A4F67" w:rsidRPr="00D8028F" w:rsidRDefault="009A4F67" w:rsidP="009A4F67">
      <w:pPr>
        <w:tabs>
          <w:tab w:val="left" w:pos="2000"/>
        </w:tabs>
        <w:spacing w:after="0" w:line="240" w:lineRule="auto"/>
        <w:rPr>
          <w:rFonts w:ascii="Arial Narrow" w:hAnsi="Arial Narrow" w:cs="Arial"/>
          <w:b/>
          <w:sz w:val="24"/>
          <w:szCs w:val="24"/>
        </w:rPr>
      </w:pPr>
      <w:r w:rsidRPr="00D8028F">
        <w:rPr>
          <w:rFonts w:ascii="Arial Narrow" w:hAnsi="Arial Narrow" w:cs="Arial"/>
          <w:b/>
          <w:sz w:val="24"/>
          <w:szCs w:val="24"/>
        </w:rPr>
        <w:tab/>
      </w:r>
      <w:r w:rsidRPr="00D8028F">
        <w:rPr>
          <w:rFonts w:ascii="Arial Narrow" w:hAnsi="Arial Narrow" w:cs="Arial"/>
          <w:b/>
          <w:sz w:val="24"/>
          <w:szCs w:val="24"/>
        </w:rPr>
        <w:tab/>
      </w:r>
      <w:r w:rsidRPr="00D8028F">
        <w:rPr>
          <w:rFonts w:ascii="Arial Narrow" w:hAnsi="Arial Narrow" w:cs="Arial"/>
          <w:b/>
          <w:sz w:val="24"/>
          <w:szCs w:val="24"/>
        </w:rPr>
        <w:tab/>
      </w:r>
      <w:r w:rsidRPr="00D8028F">
        <w:rPr>
          <w:rFonts w:ascii="Arial Narrow" w:hAnsi="Arial Narrow" w:cs="Arial"/>
          <w:b/>
          <w:sz w:val="24"/>
          <w:szCs w:val="24"/>
        </w:rPr>
        <w:tab/>
      </w:r>
      <w:r w:rsidRPr="00D8028F">
        <w:rPr>
          <w:rFonts w:ascii="Arial Narrow" w:hAnsi="Arial Narrow" w:cs="Arial"/>
          <w:b/>
          <w:sz w:val="24"/>
          <w:szCs w:val="24"/>
        </w:rPr>
        <w:tab/>
      </w:r>
      <w:r w:rsidRPr="00D8028F">
        <w:rPr>
          <w:rFonts w:ascii="Arial Narrow" w:hAnsi="Arial Narrow" w:cs="Arial"/>
          <w:b/>
          <w:sz w:val="24"/>
          <w:szCs w:val="24"/>
        </w:rPr>
        <w:tab/>
      </w:r>
    </w:p>
    <w:p w:rsidR="009A4F67" w:rsidRPr="00D8028F" w:rsidRDefault="009A4F67" w:rsidP="009A4F67">
      <w:pPr>
        <w:spacing w:after="0" w:line="240" w:lineRule="auto"/>
        <w:ind w:firstLine="720"/>
        <w:jc w:val="both"/>
        <w:rPr>
          <w:rFonts w:ascii="Arial Narrow" w:hAnsi="Arial Narrow" w:cs="Arial"/>
          <w:sz w:val="24"/>
          <w:szCs w:val="24"/>
        </w:rPr>
      </w:pPr>
      <w:r w:rsidRPr="00D8028F">
        <w:rPr>
          <w:rFonts w:ascii="Arial Narrow" w:hAnsi="Arial Narrow" w:cs="Arial"/>
          <w:b/>
          <w:sz w:val="24"/>
          <w:szCs w:val="24"/>
        </w:rPr>
        <w:t>No Harassment</w:t>
      </w:r>
      <w:r w:rsidRPr="00D8028F">
        <w:rPr>
          <w:rFonts w:ascii="Arial Narrow" w:hAnsi="Arial Narrow" w:cs="Arial"/>
          <w:sz w:val="24"/>
          <w:szCs w:val="24"/>
        </w:rPr>
        <w:t xml:space="preserve"> </w:t>
      </w:r>
      <w:r w:rsidRPr="00D8028F">
        <w:rPr>
          <w:rFonts w:ascii="Arial Narrow" w:hAnsi="Arial Narrow" w:cs="Arial"/>
          <w:b/>
          <w:sz w:val="24"/>
          <w:szCs w:val="24"/>
        </w:rPr>
        <w:t>or Discrimination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The College maintains a strict policy pro</w:t>
      </w:r>
      <w:bookmarkStart w:id="5" w:name="_GoBack"/>
      <w:bookmarkEnd w:id="5"/>
      <w:r w:rsidRPr="00D8028F">
        <w:rPr>
          <w:rFonts w:ascii="Arial Narrow" w:hAnsi="Arial Narrow" w:cs="Arial"/>
          <w:sz w:val="24"/>
          <w:szCs w:val="24"/>
        </w:rPr>
        <w:t>hibiting harassment or discrimination based on sex, race, age, color, national origin, ancestry, religion, creed, physical or mental disability, marital status, civil union status, veteran status, sexual orientation, gender, gender identity, genetic characteristics or information, 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rsidR="009A4F67" w:rsidRPr="00D8028F" w:rsidRDefault="009A4F67" w:rsidP="009A4F67">
      <w:pPr>
        <w:spacing w:after="0" w:line="240" w:lineRule="auto"/>
        <w:jc w:val="both"/>
        <w:rPr>
          <w:rFonts w:ascii="Arial Narrow" w:hAnsi="Arial Narrow" w:cs="Arial"/>
          <w:sz w:val="24"/>
          <w:szCs w:val="24"/>
        </w:rPr>
      </w:pPr>
      <w:r w:rsidRPr="00D8028F">
        <w:rPr>
          <w:rFonts w:ascii="Arial Narrow" w:hAnsi="Arial Narrow" w:cs="Arial"/>
          <w:sz w:val="24"/>
          <w:szCs w:val="24"/>
        </w:rPr>
        <w:tab/>
      </w: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report the matter to supervisor/manager or Human Resources in accordance with the Complaint Procedure for issues of possible discrimination or harassment (see below).</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sz w:val="24"/>
          <w:szCs w:val="24"/>
        </w:rPr>
      </w:pPr>
      <w:r w:rsidRPr="00D8028F">
        <w:rPr>
          <w:rFonts w:ascii="Arial Narrow" w:hAnsi="Arial Narrow" w:cs="Arial"/>
          <w:sz w:val="24"/>
          <w:szCs w:val="24"/>
        </w:rPr>
        <w:t xml:space="preserve">The College recognizes that as an academic institution devoted to the pursuit of academic learning, there may be instances where exposure to sensitive topics </w:t>
      </w:r>
      <w:r w:rsidRPr="00D8028F">
        <w:rPr>
          <w:rFonts w:ascii="Arial Narrow" w:hAnsi="Arial Narrow"/>
          <w:sz w:val="24"/>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rsidR="009A4F67" w:rsidRPr="00D8028F" w:rsidRDefault="009A4F67" w:rsidP="009A4F67">
      <w:pPr>
        <w:spacing w:after="0" w:line="240" w:lineRule="auto"/>
        <w:ind w:firstLine="720"/>
        <w:rPr>
          <w:rFonts w:ascii="Arial Narrow" w:hAnsi="Arial Narrow"/>
          <w:b/>
          <w:sz w:val="24"/>
          <w:szCs w:val="24"/>
        </w:rPr>
      </w:pPr>
      <w:bookmarkStart w:id="6" w:name="_Toc181512382"/>
      <w:bookmarkStart w:id="7" w:name="_Toc185931179"/>
      <w:bookmarkStart w:id="8" w:name="_Toc220303850"/>
      <w:bookmarkStart w:id="9" w:name="_Toc220310894"/>
      <w:bookmarkStart w:id="10" w:name="_Toc220311357"/>
      <w:bookmarkStart w:id="11" w:name="_Toc229290778"/>
      <w:bookmarkStart w:id="12" w:name="_Toc351035922"/>
      <w:r>
        <w:rPr>
          <w:rFonts w:ascii="Arial Narrow" w:hAnsi="Arial Narrow"/>
          <w:b/>
          <w:sz w:val="24"/>
          <w:szCs w:val="24"/>
        </w:rPr>
        <w:br w:type="page"/>
      </w:r>
      <w:r w:rsidRPr="00D8028F">
        <w:rPr>
          <w:rFonts w:ascii="Arial Narrow" w:hAnsi="Arial Narrow"/>
          <w:b/>
          <w:sz w:val="24"/>
          <w:szCs w:val="24"/>
        </w:rPr>
        <w:lastRenderedPageBreak/>
        <w:t>No Sexual Harassment</w:t>
      </w:r>
      <w:bookmarkEnd w:id="6"/>
      <w:bookmarkEnd w:id="7"/>
      <w:bookmarkEnd w:id="8"/>
      <w:bookmarkEnd w:id="9"/>
      <w:bookmarkEnd w:id="10"/>
      <w:bookmarkEnd w:id="11"/>
      <w:bookmarkEnd w:id="12"/>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The following examples are a partial list of the types of conduct that may constitute sexual harassment (depending on the circumstances):</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Unwelcome/unwanted sexual advances;</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Propositions or requests for sexual favors;</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Repeated unwelcome requests for dates;</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Off-color jokes or innuendos; obscene, lewd or suggestive language; or sexually oriented or explicit remarks (including questions, comments or gossip about sexual conduct, experiences, prowess or deficiencies);</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Derogatory comments based on gender;</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Inappropriate or sexually suggestive touching, such as grabbing, groping, fondling, kissing, brushing up against another’s body, stroking someone’s hair, or rubbing or massaging someone’s neck or shoulders;</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Other sexually suggestive gestures or physical movements;</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Posting, displaying or distributing any sexually oriented, sexually explicit or demeaning materials (such as posters, calendars, videos, photographs, graffiti, cartoons, figurines, e-mails, etc.);</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 xml:space="preserve">Standing too close, leering, staring or stalking; </w:t>
      </w:r>
    </w:p>
    <w:p w:rsidR="009A4F67" w:rsidRPr="00D8028F" w:rsidRDefault="009A4F67" w:rsidP="009A4F67">
      <w:pPr>
        <w:spacing w:after="0" w:line="240" w:lineRule="auto"/>
        <w:ind w:left="360"/>
        <w:jc w:val="both"/>
        <w:rPr>
          <w:rFonts w:ascii="Arial Narrow" w:hAnsi="Arial Narrow" w:cs="Arial"/>
          <w:sz w:val="24"/>
          <w:szCs w:val="24"/>
        </w:rPr>
      </w:pPr>
    </w:p>
    <w:p w:rsidR="009A4F67" w:rsidRPr="00D8028F" w:rsidRDefault="009A4F67" w:rsidP="009A4F67">
      <w:pPr>
        <w:numPr>
          <w:ilvl w:val="0"/>
          <w:numId w:val="2"/>
        </w:numPr>
        <w:spacing w:after="0" w:line="240" w:lineRule="auto"/>
        <w:ind w:left="1080"/>
        <w:jc w:val="both"/>
        <w:rPr>
          <w:rFonts w:ascii="Arial Narrow" w:hAnsi="Arial Narrow" w:cs="Arial"/>
          <w:sz w:val="24"/>
          <w:szCs w:val="24"/>
        </w:rPr>
      </w:pPr>
      <w:r w:rsidRPr="00D8028F">
        <w:rPr>
          <w:rFonts w:ascii="Arial Narrow" w:hAnsi="Arial Narrow" w:cs="Arial"/>
          <w:sz w:val="24"/>
          <w:szCs w:val="24"/>
        </w:rPr>
        <w:t>Other verbal or physical conduct that is of sexual nature or that is based on gender.</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lastRenderedPageBreak/>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rsidR="009A4F67" w:rsidRPr="00D8028F" w:rsidRDefault="009A4F67" w:rsidP="009A4F67">
      <w:pPr>
        <w:spacing w:after="0" w:line="240" w:lineRule="auto"/>
        <w:jc w:val="both"/>
        <w:rPr>
          <w:rFonts w:ascii="Arial Narrow" w:hAnsi="Arial Narrow" w:cs="Arial"/>
          <w:sz w:val="24"/>
          <w:szCs w:val="24"/>
        </w:rPr>
      </w:pPr>
      <w:r w:rsidRPr="00D8028F">
        <w:rPr>
          <w:rFonts w:ascii="Arial Narrow" w:hAnsi="Arial Narrow" w:cs="Arial"/>
          <w:sz w:val="24"/>
          <w:szCs w:val="24"/>
        </w:rPr>
        <w:tab/>
      </w:r>
    </w:p>
    <w:p w:rsidR="009A4F67" w:rsidRPr="00D8028F" w:rsidRDefault="009A4F67" w:rsidP="009A4F67">
      <w:pPr>
        <w:spacing w:after="0" w:line="240" w:lineRule="auto"/>
        <w:ind w:firstLine="720"/>
        <w:jc w:val="both"/>
        <w:rPr>
          <w:rFonts w:ascii="Arial Narrow" w:hAnsi="Arial Narrow" w:cs="Arial"/>
          <w:b/>
          <w:sz w:val="24"/>
          <w:szCs w:val="24"/>
        </w:rPr>
      </w:pPr>
      <w:r w:rsidRPr="00D8028F">
        <w:rPr>
          <w:rFonts w:ascii="Arial Narrow" w:hAnsi="Arial Narrow" w:cs="Arial"/>
          <w:b/>
          <w:sz w:val="24"/>
          <w:szCs w:val="24"/>
        </w:rPr>
        <w:t xml:space="preserve">Report All Forms of Discrimination or Harassment </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rsidR="009A4F67" w:rsidRPr="00D8028F" w:rsidRDefault="009A4F67" w:rsidP="009A4F67">
      <w:pPr>
        <w:pStyle w:val="Heading3"/>
        <w:spacing w:before="0" w:line="240" w:lineRule="auto"/>
        <w:ind w:firstLine="720"/>
        <w:jc w:val="both"/>
        <w:rPr>
          <w:rFonts w:ascii="Arial Narrow" w:hAnsi="Arial Narrow"/>
          <w:szCs w:val="24"/>
        </w:rPr>
      </w:pPr>
      <w:bookmarkStart w:id="13" w:name="_Toc181512383"/>
      <w:bookmarkStart w:id="14" w:name="_Toc185931180"/>
      <w:bookmarkStart w:id="15" w:name="_Toc220303851"/>
      <w:bookmarkStart w:id="16" w:name="_Toc220310895"/>
      <w:bookmarkStart w:id="17" w:name="_Toc220311358"/>
      <w:bookmarkStart w:id="18" w:name="_Toc229290779"/>
      <w:bookmarkStart w:id="19" w:name="_Toc351035923"/>
    </w:p>
    <w:p w:rsidR="009A4F67" w:rsidRPr="00D8028F" w:rsidRDefault="009A4F67" w:rsidP="009A4F67">
      <w:pPr>
        <w:spacing w:after="0" w:line="240" w:lineRule="auto"/>
        <w:ind w:firstLine="720"/>
        <w:rPr>
          <w:rFonts w:ascii="Arial Narrow" w:hAnsi="Arial Narrow"/>
          <w:b/>
          <w:sz w:val="24"/>
          <w:szCs w:val="24"/>
        </w:rPr>
      </w:pPr>
      <w:r w:rsidRPr="00D8028F">
        <w:rPr>
          <w:rFonts w:ascii="Arial Narrow" w:hAnsi="Arial Narrow"/>
          <w:b/>
          <w:sz w:val="24"/>
          <w:szCs w:val="24"/>
        </w:rPr>
        <w:t>Complaint Procedure – Discrimination or Harassment</w:t>
      </w:r>
      <w:bookmarkEnd w:id="13"/>
      <w:bookmarkEnd w:id="14"/>
      <w:bookmarkEnd w:id="15"/>
      <w:bookmarkEnd w:id="16"/>
      <w:bookmarkEnd w:id="17"/>
      <w:bookmarkEnd w:id="18"/>
      <w:bookmarkEnd w:id="19"/>
      <w:r w:rsidRPr="00D8028F">
        <w:rPr>
          <w:rFonts w:ascii="Arial Narrow" w:hAnsi="Arial Narrow"/>
          <w:b/>
          <w:sz w:val="24"/>
          <w:szCs w:val="24"/>
        </w:rPr>
        <w:tab/>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rsidR="009A4F67" w:rsidRPr="00D8028F" w:rsidRDefault="009A4F67" w:rsidP="009A4F67">
      <w:pPr>
        <w:spacing w:after="0" w:line="240" w:lineRule="auto"/>
        <w:ind w:left="720"/>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firstLine="720"/>
        <w:jc w:val="both"/>
        <w:rPr>
          <w:rFonts w:ascii="Arial Narrow" w:hAnsi="Arial Narrow" w:cs="Arial"/>
          <w:b/>
          <w:sz w:val="24"/>
          <w:szCs w:val="24"/>
        </w:rPr>
      </w:pPr>
      <w:r w:rsidRPr="00D8028F">
        <w:rPr>
          <w:rFonts w:ascii="Arial Narrow" w:hAnsi="Arial Narrow" w:cs="Arial"/>
          <w:b/>
          <w:sz w:val="24"/>
          <w:szCs w:val="24"/>
        </w:rPr>
        <w:t>Investigation Procedure</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rsidR="009A4F67" w:rsidRPr="00D8028F" w:rsidRDefault="009A4F67" w:rsidP="009A4F67">
      <w:pPr>
        <w:spacing w:after="0" w:line="240" w:lineRule="auto"/>
        <w:jc w:val="both"/>
        <w:rPr>
          <w:rFonts w:ascii="Arial Narrow" w:hAnsi="Arial Narrow" w:cs="Arial"/>
          <w:sz w:val="24"/>
          <w:szCs w:val="24"/>
        </w:rPr>
      </w:pPr>
    </w:p>
    <w:p w:rsidR="009A4F67"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 xml:space="preserve">All complaints of harassment and discrimination should be promptly reported to Human Resources for investigation or referral to the President, Board of Trustees Chairperson or Vice Chairperson, as outlined below. </w:t>
      </w:r>
    </w:p>
    <w:p w:rsidR="009A4F67" w:rsidRPr="00D8028F" w:rsidRDefault="009A4F67" w:rsidP="009A4F67">
      <w:pPr>
        <w:spacing w:after="0" w:line="240" w:lineRule="auto"/>
        <w:ind w:left="720"/>
        <w:jc w:val="both"/>
        <w:rPr>
          <w:rFonts w:ascii="Arial Narrow" w:hAnsi="Arial Narrow" w:cs="Arial"/>
          <w:sz w:val="24"/>
          <w:szCs w:val="24"/>
        </w:rPr>
      </w:pPr>
    </w:p>
    <w:p w:rsidR="009A4F67" w:rsidRPr="00D8028F" w:rsidRDefault="009A4F67" w:rsidP="009A4F67">
      <w:pPr>
        <w:numPr>
          <w:ilvl w:val="0"/>
          <w:numId w:val="1"/>
        </w:numPr>
        <w:spacing w:after="0" w:line="240" w:lineRule="auto"/>
        <w:ind w:left="1080"/>
        <w:rPr>
          <w:rFonts w:ascii="Arial Narrow" w:hAnsi="Arial Narrow" w:cs="Arial"/>
          <w:sz w:val="24"/>
          <w:szCs w:val="24"/>
        </w:rPr>
      </w:pPr>
      <w:r w:rsidRPr="00D8028F">
        <w:rPr>
          <w:rFonts w:ascii="Arial Narrow" w:hAnsi="Arial Narrow" w:cs="Arial"/>
          <w:sz w:val="24"/>
          <w:szCs w:val="24"/>
        </w:rPr>
        <w:t>Complaints of harassment against the President, will be referred by Human Resources to the Board of Trustees Chairperson and Vice Chairperson for investigation with qualified outside counsel.</w:t>
      </w:r>
    </w:p>
    <w:p w:rsidR="009A4F67" w:rsidRPr="00D8028F" w:rsidRDefault="009A4F67" w:rsidP="009A4F67">
      <w:pPr>
        <w:numPr>
          <w:ilvl w:val="0"/>
          <w:numId w:val="1"/>
        </w:numPr>
        <w:spacing w:after="0" w:line="240" w:lineRule="auto"/>
        <w:ind w:left="1080"/>
        <w:rPr>
          <w:rFonts w:ascii="Arial Narrow" w:hAnsi="Arial Narrow" w:cs="Arial"/>
          <w:sz w:val="24"/>
          <w:szCs w:val="24"/>
        </w:rPr>
      </w:pPr>
      <w:r w:rsidRPr="00D8028F">
        <w:rPr>
          <w:rFonts w:ascii="Arial Narrow" w:hAnsi="Arial Narrow" w:cs="Arial"/>
          <w:sz w:val="24"/>
          <w:szCs w:val="24"/>
        </w:rPr>
        <w:t xml:space="preserve">Complaints of harassment against a Board of Trustees member, will be referred by Human Resources to the President.  The  President will report the complaint to the Board of Trustees </w:t>
      </w:r>
    </w:p>
    <w:p w:rsidR="009A4F67" w:rsidRPr="00D8028F" w:rsidRDefault="009A4F67" w:rsidP="009A4F67">
      <w:pPr>
        <w:spacing w:after="0" w:line="240" w:lineRule="auto"/>
        <w:ind w:left="1080"/>
        <w:rPr>
          <w:rFonts w:ascii="Arial Narrow" w:hAnsi="Arial Narrow" w:cs="Arial"/>
          <w:sz w:val="24"/>
          <w:szCs w:val="24"/>
        </w:rPr>
      </w:pPr>
      <w:r w:rsidRPr="00D8028F">
        <w:rPr>
          <w:rFonts w:ascii="Arial Narrow" w:hAnsi="Arial Narrow" w:cs="Arial"/>
          <w:sz w:val="24"/>
          <w:szCs w:val="24"/>
        </w:rPr>
        <w:t xml:space="preserve"> Chairperson or Vice Chairperson (in the event of conflict) for investigation with qualified outside counsel.</w:t>
      </w:r>
    </w:p>
    <w:p w:rsidR="009A4F67" w:rsidRPr="00D8028F" w:rsidRDefault="009A4F67" w:rsidP="009A4F67">
      <w:pPr>
        <w:numPr>
          <w:ilvl w:val="0"/>
          <w:numId w:val="1"/>
        </w:numPr>
        <w:spacing w:after="0" w:line="240" w:lineRule="auto"/>
        <w:ind w:left="1080"/>
        <w:rPr>
          <w:rFonts w:ascii="Arial Narrow" w:hAnsi="Arial Narrow" w:cs="Arial"/>
          <w:sz w:val="24"/>
          <w:szCs w:val="24"/>
        </w:rPr>
      </w:pPr>
      <w:r w:rsidRPr="00D8028F">
        <w:rPr>
          <w:rFonts w:ascii="Arial Narrow" w:hAnsi="Arial Narrow" w:cs="Arial"/>
          <w:sz w:val="24"/>
          <w:szCs w:val="24"/>
        </w:rPr>
        <w:t>Complaints of harassment against a College Official or Human Resources Official, will be referred by a manager/supervisor to the President for investigation with qualified outside counsel.</w:t>
      </w:r>
    </w:p>
    <w:p w:rsidR="009A4F67" w:rsidRPr="00D8028F" w:rsidRDefault="009A4F67" w:rsidP="009A4F67">
      <w:pPr>
        <w:numPr>
          <w:ilvl w:val="0"/>
          <w:numId w:val="1"/>
        </w:numPr>
        <w:spacing w:after="0" w:line="240" w:lineRule="auto"/>
        <w:ind w:left="1080"/>
        <w:rPr>
          <w:rFonts w:ascii="Arial Narrow" w:hAnsi="Arial Narrow" w:cs="Arial"/>
          <w:sz w:val="24"/>
          <w:szCs w:val="24"/>
        </w:rPr>
      </w:pPr>
      <w:r w:rsidRPr="00D8028F">
        <w:rPr>
          <w:rFonts w:ascii="Arial Narrow" w:hAnsi="Arial Narrow" w:cs="Arial"/>
          <w:sz w:val="24"/>
          <w:szCs w:val="24"/>
        </w:rPr>
        <w:t>All other complaints of harassment will be referred by a manager/supervisor to Human Resources for investigation.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 xml:space="preserve">The investigation will be completed and a determination regarding the allegations will be made and communicated to the person who complained and the accused party.  </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b/>
          <w:sz w:val="24"/>
          <w:szCs w:val="24"/>
        </w:rPr>
      </w:pPr>
      <w:r w:rsidRPr="00D8028F">
        <w:rPr>
          <w:rFonts w:ascii="Arial Narrow" w:hAnsi="Arial Narrow" w:cs="Arial"/>
          <w:b/>
          <w:sz w:val="24"/>
          <w:szCs w:val="24"/>
        </w:rPr>
        <w:t xml:space="preserve">Disciplinary or Other Remedial Action Where Discrimination or Harassment is </w:t>
      </w:r>
      <w:proofErr w:type="gramStart"/>
      <w:r w:rsidRPr="00D8028F">
        <w:rPr>
          <w:rFonts w:ascii="Arial Narrow" w:hAnsi="Arial Narrow" w:cs="Arial"/>
          <w:b/>
          <w:sz w:val="24"/>
          <w:szCs w:val="24"/>
        </w:rPr>
        <w:t>Found</w:t>
      </w:r>
      <w:proofErr w:type="gramEnd"/>
      <w:r w:rsidRPr="00D8028F">
        <w:rPr>
          <w:rFonts w:ascii="Arial Narrow" w:hAnsi="Arial Narrow" w:cs="Arial"/>
          <w:b/>
          <w:sz w:val="24"/>
          <w:szCs w:val="24"/>
        </w:rPr>
        <w:t xml:space="preserve">.  </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If a complaint of discrimination or harassment is substantiated, appropriate disciplinary action, up to and including termination, will be taken.  Whatever action is taken against the accused party will be communicated to the person who complained.</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firstLine="720"/>
        <w:jc w:val="both"/>
        <w:rPr>
          <w:rFonts w:ascii="Arial Narrow" w:hAnsi="Arial Narrow" w:cs="Arial"/>
          <w:b/>
          <w:sz w:val="24"/>
          <w:szCs w:val="24"/>
        </w:rPr>
      </w:pPr>
      <w:r>
        <w:rPr>
          <w:rFonts w:ascii="Arial Narrow" w:hAnsi="Arial Narrow" w:cs="Arial"/>
          <w:b/>
          <w:sz w:val="24"/>
          <w:szCs w:val="24"/>
        </w:rPr>
        <w:br w:type="page"/>
      </w:r>
      <w:r w:rsidRPr="00D8028F">
        <w:rPr>
          <w:rFonts w:ascii="Arial Narrow" w:hAnsi="Arial Narrow" w:cs="Arial"/>
          <w:b/>
          <w:sz w:val="24"/>
          <w:szCs w:val="24"/>
        </w:rPr>
        <w:lastRenderedPageBreak/>
        <w:t>False Claims of Harassment or Discrimination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pStyle w:val="BodyText"/>
        <w:spacing w:after="0" w:line="240" w:lineRule="auto"/>
        <w:ind w:left="720"/>
        <w:rPr>
          <w:rFonts w:cs="Arial"/>
        </w:rPr>
      </w:pPr>
      <w:r w:rsidRPr="00D8028F">
        <w:rPr>
          <w:rFonts w:cs="Arial"/>
        </w:rPr>
        <w:t>Anyone who makes an intentionally false claim of harassment or discrimination will be disciplined according to College policy, up to and including termination.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firstLine="720"/>
        <w:rPr>
          <w:rFonts w:ascii="Arial Narrow" w:hAnsi="Arial Narrow"/>
          <w:b/>
          <w:sz w:val="24"/>
          <w:szCs w:val="24"/>
        </w:rPr>
      </w:pPr>
      <w:bookmarkStart w:id="20" w:name="_Toc181512384"/>
      <w:bookmarkStart w:id="21" w:name="_Toc185931181"/>
      <w:bookmarkStart w:id="22" w:name="_Toc220303852"/>
      <w:bookmarkStart w:id="23" w:name="_Toc220310896"/>
      <w:bookmarkStart w:id="24" w:name="_Toc220311359"/>
      <w:bookmarkStart w:id="25" w:name="_Toc229290780"/>
      <w:bookmarkStart w:id="26" w:name="_Toc351035924"/>
      <w:r w:rsidRPr="00D8028F">
        <w:rPr>
          <w:rFonts w:ascii="Arial Narrow" w:hAnsi="Arial Narrow"/>
          <w:b/>
          <w:sz w:val="24"/>
          <w:szCs w:val="24"/>
        </w:rPr>
        <w:t>No Retaliation</w:t>
      </w:r>
      <w:bookmarkEnd w:id="20"/>
      <w:bookmarkEnd w:id="21"/>
      <w:bookmarkEnd w:id="22"/>
      <w:bookmarkEnd w:id="23"/>
      <w:bookmarkEnd w:id="24"/>
      <w:bookmarkEnd w:id="25"/>
      <w:bookmarkEnd w:id="26"/>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rsidR="009A4F67" w:rsidRPr="00D8028F" w:rsidRDefault="009A4F67" w:rsidP="009A4F67">
      <w:pPr>
        <w:spacing w:after="0" w:line="240" w:lineRule="auto"/>
        <w:jc w:val="both"/>
        <w:rPr>
          <w:rFonts w:ascii="Arial Narrow" w:hAnsi="Arial Narrow" w:cs="Arial"/>
          <w:sz w:val="24"/>
          <w:szCs w:val="24"/>
        </w:rPr>
      </w:pPr>
    </w:p>
    <w:p w:rsidR="009A4F67" w:rsidRPr="00D8028F" w:rsidRDefault="009A4F67" w:rsidP="009A4F67">
      <w:pPr>
        <w:spacing w:after="0" w:line="240" w:lineRule="auto"/>
        <w:ind w:left="720"/>
        <w:jc w:val="both"/>
        <w:rPr>
          <w:rFonts w:ascii="Arial Narrow" w:hAnsi="Arial Narrow" w:cs="Arial"/>
          <w:sz w:val="24"/>
          <w:szCs w:val="24"/>
        </w:rPr>
      </w:pPr>
      <w:r w:rsidRPr="00D8028F">
        <w:rPr>
          <w:rFonts w:ascii="Arial Narrow" w:hAnsi="Arial Narrow" w:cs="Arial"/>
          <w:sz w:val="24"/>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rsidR="0001218E" w:rsidRDefault="0001218E"/>
    <w:sectPr w:rsidR="0001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67"/>
    <w:rsid w:val="0001218E"/>
    <w:rsid w:val="009A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C2B3B-E7EF-45D5-861B-74CEE11E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67"/>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9A4F67"/>
    <w:pPr>
      <w:spacing w:after="0" w:line="240" w:lineRule="auto"/>
      <w:ind w:left="270"/>
      <w:outlineLvl w:val="1"/>
    </w:pPr>
    <w:rPr>
      <w:rFonts w:ascii="Arial Narrow" w:hAnsi="Arial Narrow"/>
      <w:b/>
      <w:bCs/>
      <w:sz w:val="26"/>
      <w:szCs w:val="26"/>
    </w:rPr>
  </w:style>
  <w:style w:type="paragraph" w:styleId="Heading3">
    <w:name w:val="heading 3"/>
    <w:basedOn w:val="Normal"/>
    <w:next w:val="Normal"/>
    <w:link w:val="Heading3Char"/>
    <w:uiPriority w:val="9"/>
    <w:unhideWhenUsed/>
    <w:qFormat/>
    <w:rsid w:val="009A4F67"/>
    <w:pPr>
      <w:spacing w:before="200" w:after="0" w:line="271" w:lineRule="auto"/>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F67"/>
    <w:rPr>
      <w:rFonts w:ascii="Arial Narrow" w:eastAsia="Times New Roman" w:hAnsi="Arial Narrow" w:cs="Times New Roman"/>
      <w:b/>
      <w:bCs/>
      <w:sz w:val="26"/>
      <w:szCs w:val="26"/>
    </w:rPr>
  </w:style>
  <w:style w:type="character" w:customStyle="1" w:styleId="Heading3Char">
    <w:name w:val="Heading 3 Char"/>
    <w:basedOn w:val="DefaultParagraphFont"/>
    <w:link w:val="Heading3"/>
    <w:uiPriority w:val="9"/>
    <w:rsid w:val="009A4F67"/>
    <w:rPr>
      <w:rFonts w:ascii="Cambria" w:eastAsia="Times New Roman" w:hAnsi="Cambria" w:cs="Times New Roman"/>
      <w:b/>
      <w:bCs/>
    </w:rPr>
  </w:style>
  <w:style w:type="paragraph" w:styleId="BodyText">
    <w:name w:val="Body Text"/>
    <w:basedOn w:val="Normal"/>
    <w:link w:val="BodyTextChar"/>
    <w:rsid w:val="009A4F67"/>
    <w:pPr>
      <w:tabs>
        <w:tab w:val="left" w:pos="7560"/>
      </w:tabs>
      <w:jc w:val="both"/>
    </w:pPr>
    <w:rPr>
      <w:rFonts w:ascii="Arial Narrow" w:hAnsi="Arial Narrow"/>
      <w:sz w:val="24"/>
      <w:szCs w:val="24"/>
    </w:rPr>
  </w:style>
  <w:style w:type="character" w:customStyle="1" w:styleId="BodyTextChar">
    <w:name w:val="Body Text Char"/>
    <w:basedOn w:val="DefaultParagraphFont"/>
    <w:link w:val="BodyText"/>
    <w:rsid w:val="009A4F67"/>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1</cp:revision>
  <dcterms:created xsi:type="dcterms:W3CDTF">2016-07-27T16:40:00Z</dcterms:created>
  <dcterms:modified xsi:type="dcterms:W3CDTF">2016-07-27T16:41:00Z</dcterms:modified>
</cp:coreProperties>
</file>